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Arial" w:hAnsi="Arial" w:cs="Arial"/>
          <w:b/>
          <w:bCs/>
          <w:kern w:val="0"/>
          <w:sz w:val="28"/>
          <w:szCs w:val="28"/>
        </w:rPr>
        <w:t>山东省脐血库</w:t>
      </w:r>
      <w:r>
        <w:rPr>
          <w:rFonts w:hint="eastAsia" w:ascii="Arial" w:hAnsi="Arial" w:cs="Arial"/>
          <w:b/>
          <w:bCs/>
          <w:kern w:val="0"/>
          <w:sz w:val="28"/>
          <w:szCs w:val="28"/>
          <w:lang w:val="en-US" w:eastAsia="zh-CN"/>
        </w:rPr>
        <w:t>企业形象宣传片制作</w:t>
      </w:r>
      <w:r>
        <w:rPr>
          <w:rFonts w:hint="eastAsia" w:ascii="Arial" w:hAnsi="Arial" w:cs="Arial"/>
          <w:b/>
          <w:bCs/>
          <w:kern w:val="0"/>
          <w:sz w:val="28"/>
          <w:szCs w:val="28"/>
        </w:rPr>
        <w:t>项目招标</w:t>
      </w:r>
    </w:p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资格预审公告</w:t>
      </w:r>
    </w:p>
    <w:p>
      <w:pPr>
        <w:adjustRightInd w:val="0"/>
        <w:snapToGrid w:val="0"/>
        <w:spacing w:line="360" w:lineRule="auto"/>
        <w:outlineLvl w:val="0"/>
        <w:rPr>
          <w:rFonts w:cs="宋体t.祯畴" w:asciiTheme="majorEastAsia" w:hAnsiTheme="majorEastAsia" w:eastAsiaTheme="majorEastAsia"/>
          <w:kern w:val="0"/>
          <w:sz w:val="28"/>
          <w:szCs w:val="28"/>
        </w:rPr>
      </w:pPr>
      <w:bookmarkStart w:id="0" w:name="_Toc15389"/>
      <w:bookmarkStart w:id="1" w:name="_Toc13087"/>
      <w:bookmarkStart w:id="2" w:name="_Toc18578"/>
      <w:bookmarkStart w:id="3" w:name="_Toc19401"/>
      <w:bookmarkStart w:id="4" w:name="_Toc8892"/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</w:rPr>
        <w:t>一、基本情况</w:t>
      </w:r>
      <w:bookmarkEnd w:id="0"/>
      <w:bookmarkEnd w:id="1"/>
      <w:bookmarkEnd w:id="2"/>
      <w:bookmarkEnd w:id="3"/>
      <w:bookmarkEnd w:id="4"/>
    </w:p>
    <w:p>
      <w:pPr>
        <w:adjustRightInd w:val="0"/>
        <w:snapToGrid w:val="0"/>
        <w:spacing w:line="360" w:lineRule="auto"/>
        <w:outlineLvl w:val="0"/>
        <w:rPr>
          <w:rFonts w:cs="宋体t.祯畴" w:asciiTheme="majorEastAsia" w:hAnsiTheme="majorEastAsia" w:eastAsiaTheme="majorEastAsia"/>
          <w:kern w:val="0"/>
          <w:sz w:val="28"/>
          <w:szCs w:val="28"/>
        </w:rPr>
      </w:pPr>
      <w:bookmarkStart w:id="5" w:name="_Toc979"/>
      <w:bookmarkStart w:id="6" w:name="_Toc4433"/>
      <w:bookmarkStart w:id="7" w:name="_Toc6692"/>
      <w:bookmarkStart w:id="8" w:name="_Toc9569"/>
      <w:bookmarkStart w:id="9" w:name="_Toc10458"/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</w:rPr>
        <w:t>1、招标人：</w:t>
      </w:r>
      <w:bookmarkEnd w:id="5"/>
      <w:bookmarkEnd w:id="6"/>
      <w:bookmarkEnd w:id="7"/>
      <w:bookmarkEnd w:id="8"/>
      <w:bookmarkEnd w:id="9"/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</w:rPr>
        <w:t>山东省齐鲁干细胞工程有限公司</w:t>
      </w:r>
    </w:p>
    <w:p>
      <w:pPr>
        <w:adjustRightInd w:val="0"/>
        <w:snapToGrid w:val="0"/>
        <w:spacing w:line="360" w:lineRule="auto"/>
        <w:outlineLvl w:val="0"/>
        <w:rPr>
          <w:rFonts w:cs="宋体t.祯畴" w:asciiTheme="majorEastAsia" w:hAnsiTheme="majorEastAsia" w:eastAsiaTheme="majorEastAsia"/>
          <w:kern w:val="0"/>
          <w:sz w:val="28"/>
          <w:szCs w:val="28"/>
        </w:rPr>
      </w:pPr>
      <w:bookmarkStart w:id="10" w:name="_Toc26539"/>
      <w:bookmarkStart w:id="11" w:name="_Toc29002"/>
      <w:bookmarkStart w:id="12" w:name="_Toc23737"/>
      <w:bookmarkStart w:id="13" w:name="_Toc32379"/>
      <w:bookmarkStart w:id="14" w:name="_Toc16905"/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</w:rPr>
        <w:t>2、项目概况：</w:t>
      </w:r>
      <w:bookmarkEnd w:id="10"/>
      <w:bookmarkEnd w:id="11"/>
      <w:bookmarkEnd w:id="12"/>
      <w:bookmarkEnd w:id="13"/>
      <w:bookmarkEnd w:id="14"/>
      <w:bookmarkStart w:id="15" w:name="_Toc6946"/>
      <w:bookmarkStart w:id="16" w:name="_Toc20937"/>
      <w:bookmarkStart w:id="17" w:name="_Toc23592"/>
      <w:bookmarkStart w:id="18" w:name="_Toc4788"/>
      <w:bookmarkStart w:id="19" w:name="_Toc29778"/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  <w:lang w:val="en-US" w:eastAsia="zh-CN"/>
        </w:rPr>
        <w:t>宣</w:t>
      </w:r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</w:rPr>
        <w:t>项字[</w:t>
      </w:r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  <w:lang w:val="en-US" w:eastAsia="zh-CN"/>
        </w:rPr>
        <w:t>QXK</w:t>
      </w:r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</w:rPr>
        <w:t>-</w:t>
      </w:r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  <w:lang w:val="en-US" w:eastAsia="zh-CN"/>
        </w:rPr>
        <w:t>XC</w:t>
      </w:r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</w:rPr>
        <w:t>-20</w:t>
      </w:r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  <w:lang w:val="en-US" w:eastAsia="zh-CN"/>
        </w:rPr>
        <w:t>20</w:t>
      </w:r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</w:rPr>
        <w:t>0</w:t>
      </w:r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  <w:lang w:val="en-US" w:eastAsia="zh-CN"/>
        </w:rPr>
        <w:t>4</w:t>
      </w:r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</w:rPr>
        <w:t>]号山东省脐血库</w:t>
      </w:r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  <w:lang w:val="en-US" w:eastAsia="zh-CN"/>
        </w:rPr>
        <w:t>新企业形象宣传片制作</w:t>
      </w:r>
      <w:r>
        <w:rPr>
          <w:rFonts w:cs="宋体t.祯畴" w:asciiTheme="majorEastAsia" w:hAnsiTheme="majorEastAsia" w:eastAsiaTheme="majorEastAsia"/>
          <w:kern w:val="0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outlineLvl w:val="0"/>
        <w:rPr>
          <w:rFonts w:hint="eastAsia" w:cs="宋体t.祯畴" w:asciiTheme="majorEastAsia" w:hAnsiTheme="majorEastAsia" w:eastAsiaTheme="majorEastAsia"/>
          <w:kern w:val="0"/>
          <w:sz w:val="28"/>
          <w:szCs w:val="28"/>
          <w:lang w:eastAsia="zh-CN"/>
        </w:rPr>
      </w:pPr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</w:rPr>
        <w:t>3、项目周期：</w:t>
      </w:r>
      <w:bookmarkEnd w:id="15"/>
      <w:bookmarkEnd w:id="16"/>
      <w:bookmarkEnd w:id="17"/>
      <w:bookmarkEnd w:id="18"/>
      <w:bookmarkEnd w:id="19"/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  <w:lang w:val="en-US" w:eastAsia="zh-CN"/>
        </w:rPr>
        <w:t>两个月</w:t>
      </w:r>
    </w:p>
    <w:p>
      <w:pPr>
        <w:adjustRightInd w:val="0"/>
        <w:snapToGrid w:val="0"/>
        <w:spacing w:line="360" w:lineRule="auto"/>
        <w:outlineLvl w:val="0"/>
        <w:rPr>
          <w:rFonts w:cs="宋体t.祯畴" w:asciiTheme="majorEastAsia" w:hAnsiTheme="majorEastAsia" w:eastAsiaTheme="majorEastAsia"/>
          <w:kern w:val="0"/>
          <w:sz w:val="28"/>
          <w:szCs w:val="28"/>
        </w:rPr>
      </w:pPr>
      <w:bookmarkStart w:id="20" w:name="_Toc7783"/>
      <w:bookmarkStart w:id="21" w:name="_Toc22877"/>
      <w:bookmarkStart w:id="22" w:name="_Toc26094"/>
      <w:bookmarkStart w:id="23" w:name="_Toc20268"/>
      <w:bookmarkStart w:id="24" w:name="_Toc19876"/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</w:rPr>
        <w:t>二、招标形式</w:t>
      </w:r>
      <w:bookmarkEnd w:id="20"/>
      <w:bookmarkEnd w:id="21"/>
      <w:bookmarkEnd w:id="22"/>
      <w:bookmarkEnd w:id="23"/>
      <w:bookmarkEnd w:id="24"/>
    </w:p>
    <w:p>
      <w:pPr>
        <w:adjustRightInd w:val="0"/>
        <w:snapToGrid w:val="0"/>
        <w:spacing w:line="360" w:lineRule="auto"/>
        <w:ind w:firstLine="560" w:firstLineChars="200"/>
        <w:outlineLvl w:val="0"/>
        <w:rPr>
          <w:rFonts w:cs="宋体t.祯畴" w:asciiTheme="majorEastAsia" w:hAnsiTheme="majorEastAsia" w:eastAsiaTheme="majorEastAsia"/>
          <w:kern w:val="0"/>
          <w:sz w:val="28"/>
          <w:szCs w:val="28"/>
        </w:rPr>
      </w:pPr>
      <w:bookmarkStart w:id="25" w:name="_Toc20107"/>
      <w:bookmarkStart w:id="26" w:name="_Toc23869"/>
      <w:bookmarkStart w:id="27" w:name="_Toc29727"/>
      <w:bookmarkStart w:id="28" w:name="_Toc16815"/>
      <w:bookmarkStart w:id="29" w:name="_Toc9607"/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</w:rPr>
        <w:t>公开招标，特邀请有意向的潜在投标人（以下简称“申请人”）提出资格预审申请。</w:t>
      </w:r>
      <w:bookmarkEnd w:id="25"/>
      <w:bookmarkEnd w:id="26"/>
      <w:bookmarkEnd w:id="27"/>
      <w:bookmarkEnd w:id="28"/>
      <w:bookmarkEnd w:id="29"/>
    </w:p>
    <w:p>
      <w:pPr>
        <w:adjustRightInd w:val="0"/>
        <w:snapToGrid w:val="0"/>
        <w:spacing w:line="360" w:lineRule="auto"/>
        <w:outlineLvl w:val="0"/>
        <w:rPr>
          <w:rFonts w:cs="宋体t.祯畴" w:asciiTheme="majorEastAsia" w:hAnsiTheme="majorEastAsia" w:eastAsiaTheme="majorEastAsia"/>
          <w:kern w:val="0"/>
          <w:sz w:val="28"/>
          <w:szCs w:val="28"/>
        </w:rPr>
      </w:pPr>
      <w:bookmarkStart w:id="30" w:name="_Toc26500"/>
      <w:bookmarkStart w:id="31" w:name="_Toc23058"/>
      <w:bookmarkStart w:id="32" w:name="_Toc30414"/>
      <w:bookmarkStart w:id="33" w:name="_Toc30739"/>
      <w:bookmarkStart w:id="34" w:name="_Toc3216"/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</w:rPr>
        <w:t>三、招标内容及范围</w:t>
      </w:r>
      <w:bookmarkEnd w:id="30"/>
      <w:bookmarkEnd w:id="31"/>
      <w:bookmarkEnd w:id="32"/>
      <w:bookmarkEnd w:id="33"/>
      <w:bookmarkEnd w:id="34"/>
    </w:p>
    <w:p>
      <w:pPr>
        <w:adjustRightInd w:val="0"/>
        <w:snapToGrid w:val="0"/>
        <w:spacing w:line="360" w:lineRule="auto"/>
        <w:outlineLvl w:val="0"/>
        <w:rPr>
          <w:rFonts w:cs="宋体t.祯畴" w:asciiTheme="majorEastAsia" w:hAnsiTheme="majorEastAsia" w:eastAsiaTheme="majorEastAsia"/>
          <w:kern w:val="0"/>
          <w:sz w:val="28"/>
          <w:szCs w:val="28"/>
        </w:rPr>
      </w:pPr>
      <w:bookmarkStart w:id="35" w:name="_Toc17972"/>
      <w:bookmarkStart w:id="36" w:name="_Toc2939"/>
      <w:bookmarkStart w:id="37" w:name="_Toc6309"/>
      <w:bookmarkStart w:id="38" w:name="_Toc17968"/>
      <w:bookmarkStart w:id="39" w:name="_Toc12864"/>
      <w:bookmarkStart w:id="40" w:name="_Toc1523"/>
      <w:bookmarkStart w:id="41" w:name="_Toc9691"/>
      <w:bookmarkStart w:id="42" w:name="_Toc18882"/>
      <w:bookmarkStart w:id="43" w:name="_Toc31721"/>
      <w:bookmarkStart w:id="44" w:name="_Toc26731"/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</w:rPr>
        <w:t>本招标范围为</w:t>
      </w:r>
      <w:bookmarkEnd w:id="35"/>
      <w:bookmarkEnd w:id="36"/>
      <w:bookmarkEnd w:id="37"/>
      <w:bookmarkEnd w:id="38"/>
      <w:bookmarkEnd w:id="39"/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</w:rPr>
        <w:t>山东省脐血库</w:t>
      </w:r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  <w:lang w:val="en-US" w:eastAsia="zh-CN"/>
        </w:rPr>
        <w:t>新企业形象宣传片策划脚本、拍摄、剪辑、包装</w:t>
      </w:r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outlineLvl w:val="0"/>
        <w:rPr>
          <w:rFonts w:cs="宋体t.祯畴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</w:rPr>
        <w:t>四、申请人资格要求</w:t>
      </w:r>
      <w:bookmarkEnd w:id="40"/>
      <w:bookmarkEnd w:id="41"/>
      <w:bookmarkEnd w:id="42"/>
      <w:bookmarkEnd w:id="43"/>
      <w:bookmarkEnd w:id="44"/>
    </w:p>
    <w:p>
      <w:pPr>
        <w:adjustRightInd w:val="0"/>
        <w:snapToGrid w:val="0"/>
        <w:spacing w:line="360" w:lineRule="auto"/>
        <w:outlineLvl w:val="0"/>
        <w:rPr>
          <w:rFonts w:cs="宋体t.祯畴" w:asciiTheme="majorEastAsia" w:hAnsiTheme="majorEastAsia" w:eastAsiaTheme="majorEastAsia"/>
          <w:kern w:val="0"/>
          <w:sz w:val="28"/>
          <w:szCs w:val="28"/>
        </w:rPr>
      </w:pPr>
      <w:bookmarkStart w:id="45" w:name="_Toc30325"/>
      <w:bookmarkStart w:id="46" w:name="_Toc27183"/>
      <w:bookmarkStart w:id="47" w:name="_Toc21585"/>
      <w:bookmarkStart w:id="48" w:name="_Toc4276"/>
      <w:bookmarkStart w:id="49" w:name="_Toc13897"/>
      <w:bookmarkStart w:id="50" w:name="_Toc17159"/>
      <w:bookmarkStart w:id="51" w:name="_Toc28902"/>
      <w:bookmarkStart w:id="52" w:name="_Toc18714"/>
      <w:bookmarkStart w:id="53" w:name="_Toc24663"/>
      <w:bookmarkStart w:id="54" w:name="_Toc11624"/>
      <w:r>
        <w:rPr>
          <w:rFonts w:asciiTheme="majorEastAsia" w:hAnsiTheme="majorEastAsia" w:eastAsiaTheme="majorEastAsia"/>
          <w:sz w:val="28"/>
          <w:szCs w:val="28"/>
        </w:rPr>
        <w:t>（1）具有独立企业法人资格；</w:t>
      </w:r>
      <w:r>
        <w:rPr>
          <w:rFonts w:asciiTheme="majorEastAsia" w:hAnsiTheme="majorEastAsia" w:eastAsiaTheme="majorEastAsia"/>
          <w:sz w:val="28"/>
          <w:szCs w:val="28"/>
        </w:rPr>
        <w:br w:type="textWrapping"/>
      </w:r>
      <w:r>
        <w:rPr>
          <w:rFonts w:asciiTheme="majorEastAsia" w:hAnsiTheme="majorEastAsia" w:eastAsiaTheme="majorEastAsia"/>
          <w:sz w:val="28"/>
          <w:szCs w:val="28"/>
        </w:rPr>
        <w:t>（2）</w:t>
      </w:r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</w:rPr>
        <w:t>至投标之日公司注册年限不低于</w:t>
      </w:r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  <w:lang w:val="en-US" w:eastAsia="zh-CN"/>
        </w:rPr>
        <w:t>三</w:t>
      </w:r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</w:rPr>
        <w:t>年；</w:t>
      </w:r>
      <w:r>
        <w:rPr>
          <w:rFonts w:asciiTheme="majorEastAsia" w:hAnsiTheme="majorEastAsia" w:eastAsiaTheme="majorEastAsia"/>
          <w:sz w:val="28"/>
          <w:szCs w:val="28"/>
        </w:rPr>
        <w:br w:type="textWrapping"/>
      </w:r>
      <w:r>
        <w:rPr>
          <w:rFonts w:asciiTheme="majorEastAsia" w:hAnsiTheme="majorEastAsia" w:eastAsiaTheme="majorEastAsia"/>
          <w:sz w:val="28"/>
          <w:szCs w:val="28"/>
        </w:rPr>
        <w:t>（3）申请人必须具有良好的社会信誉，具有履行合同所必需的设备和专业技术能力；</w:t>
      </w:r>
      <w:r>
        <w:rPr>
          <w:rFonts w:asciiTheme="majorEastAsia" w:hAnsiTheme="majorEastAsia" w:eastAsiaTheme="majorEastAsia"/>
          <w:sz w:val="28"/>
          <w:szCs w:val="28"/>
        </w:rPr>
        <w:br w:type="textWrapping"/>
      </w:r>
      <w:r>
        <w:rPr>
          <w:rFonts w:asciiTheme="majorEastAsia" w:hAnsiTheme="majorEastAsia" w:eastAsiaTheme="majorEastAsia"/>
          <w:sz w:val="28"/>
          <w:szCs w:val="28"/>
        </w:rPr>
        <w:t>（4）本项目不接受联合体报价。</w:t>
      </w:r>
    </w:p>
    <w:bookmarkEnd w:id="45"/>
    <w:bookmarkEnd w:id="46"/>
    <w:bookmarkEnd w:id="47"/>
    <w:bookmarkEnd w:id="48"/>
    <w:bookmarkEnd w:id="49"/>
    <w:p>
      <w:pPr>
        <w:adjustRightInd w:val="0"/>
        <w:snapToGrid w:val="0"/>
        <w:spacing w:line="360" w:lineRule="auto"/>
        <w:outlineLvl w:val="0"/>
        <w:rPr>
          <w:rFonts w:cs="宋体t.祯畴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</w:rPr>
        <w:t>五、资格预审方法</w:t>
      </w:r>
      <w:bookmarkEnd w:id="50"/>
      <w:bookmarkEnd w:id="51"/>
      <w:bookmarkEnd w:id="52"/>
      <w:bookmarkEnd w:id="53"/>
      <w:bookmarkEnd w:id="54"/>
    </w:p>
    <w:p>
      <w:pPr>
        <w:adjustRightInd w:val="0"/>
        <w:snapToGrid w:val="0"/>
        <w:spacing w:line="360" w:lineRule="auto"/>
        <w:ind w:firstLine="560" w:firstLineChars="200"/>
        <w:outlineLvl w:val="0"/>
        <w:rPr>
          <w:rFonts w:cs="宋体t.祯畴" w:asciiTheme="majorEastAsia" w:hAnsiTheme="majorEastAsia" w:eastAsiaTheme="majorEastAsia"/>
          <w:kern w:val="0"/>
          <w:sz w:val="28"/>
          <w:szCs w:val="28"/>
        </w:rPr>
      </w:pPr>
      <w:bookmarkStart w:id="55" w:name="_Toc25609"/>
      <w:bookmarkStart w:id="56" w:name="_Toc15873"/>
      <w:bookmarkStart w:id="57" w:name="_Toc8971"/>
      <w:bookmarkStart w:id="58" w:name="_Toc24072"/>
      <w:bookmarkStart w:id="59" w:name="_Toc7762"/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</w:rPr>
        <w:t>本次资格预审采用合格制，招标人将招标文件发送至预审合格的申请人联系邮箱中。</w:t>
      </w:r>
      <w:bookmarkEnd w:id="55"/>
      <w:bookmarkEnd w:id="56"/>
      <w:bookmarkEnd w:id="57"/>
      <w:bookmarkEnd w:id="58"/>
      <w:bookmarkEnd w:id="59"/>
    </w:p>
    <w:p>
      <w:pPr>
        <w:adjustRightInd w:val="0"/>
        <w:snapToGrid w:val="0"/>
        <w:spacing w:line="360" w:lineRule="auto"/>
        <w:outlineLvl w:val="0"/>
        <w:rPr>
          <w:rFonts w:cs="宋体t.祯畴" w:asciiTheme="majorEastAsia" w:hAnsiTheme="majorEastAsia" w:eastAsiaTheme="majorEastAsia"/>
          <w:kern w:val="0"/>
          <w:sz w:val="28"/>
          <w:szCs w:val="28"/>
        </w:rPr>
      </w:pPr>
      <w:bookmarkStart w:id="60" w:name="_Toc24029"/>
      <w:bookmarkStart w:id="61" w:name="_Toc32673"/>
      <w:bookmarkStart w:id="62" w:name="_Toc16021"/>
      <w:bookmarkStart w:id="63" w:name="_Toc26698"/>
      <w:bookmarkStart w:id="64" w:name="_Toc20445"/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</w:rPr>
        <w:t>六、申请报名</w:t>
      </w:r>
      <w:bookmarkEnd w:id="60"/>
      <w:bookmarkEnd w:id="61"/>
      <w:bookmarkEnd w:id="62"/>
      <w:bookmarkEnd w:id="63"/>
      <w:bookmarkEnd w:id="64"/>
    </w:p>
    <w:p>
      <w:pPr>
        <w:adjustRightInd w:val="0"/>
        <w:snapToGrid w:val="0"/>
        <w:spacing w:line="360" w:lineRule="auto"/>
        <w:outlineLvl w:val="0"/>
        <w:rPr>
          <w:rFonts w:cs="宋体t.祯畴" w:asciiTheme="majorEastAsia" w:hAnsiTheme="majorEastAsia" w:eastAsiaTheme="majorEastAsia"/>
          <w:kern w:val="0"/>
          <w:sz w:val="28"/>
          <w:szCs w:val="28"/>
        </w:rPr>
      </w:pPr>
      <w:bookmarkStart w:id="65" w:name="_Toc26417"/>
      <w:bookmarkStart w:id="66" w:name="_Toc14060"/>
      <w:bookmarkStart w:id="67" w:name="_Toc5226"/>
      <w:bookmarkStart w:id="68" w:name="_Toc19938"/>
      <w:bookmarkStart w:id="69" w:name="_Toc32646"/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</w:rPr>
        <w:t>凡有意申请资格预审者，请于</w:t>
      </w:r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  <w:lang w:val="en-US" w:eastAsia="zh-CN"/>
        </w:rPr>
        <w:t>预审公告发布即日起</w:t>
      </w:r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</w:rPr>
        <w:t>至20</w:t>
      </w:r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  <w:lang w:val="en-US" w:eastAsia="zh-CN"/>
        </w:rPr>
        <w:t>20</w:t>
      </w:r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</w:rPr>
        <w:t>年</w:t>
      </w:r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  <w:lang w:val="en-US" w:eastAsia="zh-CN"/>
        </w:rPr>
        <w:t>4</w:t>
      </w:r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</w:rPr>
        <w:t>月</w:t>
      </w:r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  <w:lang w:val="en-US" w:eastAsia="zh-CN"/>
        </w:rPr>
        <w:t>13</w:t>
      </w:r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</w:rPr>
        <w:t>日（法定公休日、节假日不休，自公告发布之日起可接受报名），将以下材料发送至指定邮箱并电话通知：</w:t>
      </w:r>
      <w:bookmarkEnd w:id="65"/>
      <w:bookmarkEnd w:id="66"/>
      <w:bookmarkEnd w:id="67"/>
      <w:bookmarkEnd w:id="68"/>
      <w:bookmarkEnd w:id="69"/>
    </w:p>
    <w:p>
      <w:pPr>
        <w:adjustRightInd w:val="0"/>
        <w:snapToGrid w:val="0"/>
        <w:spacing w:line="360" w:lineRule="auto"/>
        <w:outlineLvl w:val="0"/>
        <w:rPr>
          <w:rFonts w:cs="宋体t.祯畴" w:asciiTheme="majorEastAsia" w:hAnsiTheme="majorEastAsia" w:eastAsiaTheme="majorEastAsia"/>
          <w:kern w:val="0"/>
          <w:sz w:val="28"/>
          <w:szCs w:val="28"/>
        </w:rPr>
      </w:pPr>
      <w:bookmarkStart w:id="70" w:name="_Toc192"/>
      <w:bookmarkStart w:id="71" w:name="_Toc8393"/>
      <w:bookmarkStart w:id="72" w:name="_Toc21801"/>
      <w:bookmarkStart w:id="73" w:name="_Toc14488"/>
      <w:bookmarkStart w:id="74" w:name="_Toc18411"/>
      <w:bookmarkStart w:id="75" w:name="_Toc15489"/>
      <w:bookmarkStart w:id="76" w:name="_Toc1886"/>
      <w:bookmarkStart w:id="77" w:name="_Toc16716"/>
      <w:bookmarkStart w:id="78" w:name="_Toc28655"/>
      <w:bookmarkStart w:id="79" w:name="_Toc25295"/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</w:rPr>
        <w:t>（1）资格预审申请函；</w:t>
      </w:r>
      <w:bookmarkEnd w:id="70"/>
      <w:bookmarkEnd w:id="71"/>
      <w:bookmarkEnd w:id="72"/>
      <w:bookmarkEnd w:id="73"/>
      <w:bookmarkEnd w:id="74"/>
    </w:p>
    <w:p>
      <w:pPr>
        <w:adjustRightInd w:val="0"/>
        <w:snapToGrid w:val="0"/>
        <w:spacing w:line="360" w:lineRule="auto"/>
        <w:outlineLvl w:val="0"/>
        <w:rPr>
          <w:rFonts w:cs="宋体t.祯畴" w:asciiTheme="majorEastAsia" w:hAnsiTheme="majorEastAsia" w:eastAsiaTheme="majorEastAsia"/>
          <w:kern w:val="0"/>
          <w:sz w:val="28"/>
          <w:szCs w:val="28"/>
        </w:rPr>
      </w:pPr>
      <w:bookmarkStart w:id="80" w:name="_Toc13829"/>
      <w:bookmarkStart w:id="81" w:name="_Toc18443"/>
      <w:bookmarkStart w:id="82" w:name="_Toc29360"/>
      <w:bookmarkStart w:id="83" w:name="_Toc24407"/>
      <w:bookmarkStart w:id="84" w:name="_Toc7704"/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</w:rPr>
        <w:t>（2）法定代表人或授权代表人身份证扫描件；</w:t>
      </w:r>
      <w:bookmarkEnd w:id="80"/>
      <w:bookmarkEnd w:id="81"/>
      <w:bookmarkEnd w:id="82"/>
      <w:bookmarkEnd w:id="83"/>
      <w:bookmarkEnd w:id="84"/>
    </w:p>
    <w:p>
      <w:pPr>
        <w:adjustRightInd w:val="0"/>
        <w:snapToGrid w:val="0"/>
        <w:spacing w:line="360" w:lineRule="auto"/>
        <w:outlineLvl w:val="0"/>
        <w:rPr>
          <w:rFonts w:cs="宋体t.祯畴" w:asciiTheme="majorEastAsia" w:hAnsiTheme="majorEastAsia" w:eastAsiaTheme="majorEastAsia"/>
          <w:kern w:val="0"/>
          <w:sz w:val="28"/>
          <w:szCs w:val="28"/>
        </w:rPr>
      </w:pPr>
      <w:bookmarkStart w:id="85" w:name="_Toc11966"/>
      <w:bookmarkStart w:id="86" w:name="_Toc23156"/>
      <w:bookmarkStart w:id="87" w:name="_Toc7658"/>
      <w:bookmarkStart w:id="88" w:name="_Toc4851"/>
      <w:bookmarkStart w:id="89" w:name="_Toc5382"/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</w:rPr>
        <w:t>（3）法定代表人授权委托书；</w:t>
      </w:r>
      <w:bookmarkEnd w:id="85"/>
      <w:bookmarkEnd w:id="86"/>
      <w:bookmarkEnd w:id="87"/>
      <w:bookmarkEnd w:id="88"/>
      <w:bookmarkEnd w:id="89"/>
    </w:p>
    <w:p>
      <w:pPr>
        <w:adjustRightInd w:val="0"/>
        <w:snapToGrid w:val="0"/>
        <w:spacing w:line="360" w:lineRule="auto"/>
        <w:outlineLvl w:val="0"/>
        <w:rPr>
          <w:rFonts w:cs="宋体t.祯畴" w:asciiTheme="majorEastAsia" w:hAnsiTheme="majorEastAsia" w:eastAsiaTheme="majorEastAsia"/>
          <w:kern w:val="0"/>
          <w:sz w:val="28"/>
          <w:szCs w:val="28"/>
        </w:rPr>
      </w:pPr>
      <w:bookmarkStart w:id="90" w:name="_Toc30756"/>
      <w:bookmarkStart w:id="91" w:name="_Toc30186"/>
      <w:bookmarkStart w:id="92" w:name="_Toc2763"/>
      <w:bookmarkStart w:id="93" w:name="_Toc20194"/>
      <w:bookmarkStart w:id="94" w:name="_Toc16026"/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</w:rPr>
        <w:t>（4）企业资质证书扫描件；</w:t>
      </w:r>
      <w:bookmarkEnd w:id="90"/>
      <w:bookmarkEnd w:id="91"/>
      <w:bookmarkEnd w:id="92"/>
      <w:bookmarkEnd w:id="93"/>
      <w:bookmarkEnd w:id="94"/>
    </w:p>
    <w:p>
      <w:pPr>
        <w:adjustRightInd w:val="0"/>
        <w:snapToGrid w:val="0"/>
        <w:spacing w:line="360" w:lineRule="auto"/>
        <w:outlineLvl w:val="0"/>
        <w:rPr>
          <w:rFonts w:cs="宋体t.祯畴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</w:rPr>
        <w:t>（5）</w:t>
      </w:r>
      <w:bookmarkStart w:id="95" w:name="_Toc11823"/>
      <w:bookmarkStart w:id="96" w:name="_Toc5494"/>
      <w:bookmarkStart w:id="97" w:name="_Toc5727"/>
      <w:bookmarkStart w:id="98" w:name="_Toc20412"/>
      <w:bookmarkStart w:id="99" w:name="_Toc29110"/>
      <w:r>
        <w:rPr>
          <w:rFonts w:asciiTheme="majorEastAsia" w:hAnsiTheme="majorEastAsia" w:eastAsiaTheme="majorEastAsia"/>
          <w:sz w:val="28"/>
          <w:szCs w:val="28"/>
        </w:rPr>
        <w:t>上年度经年检的营业执照副本、组织机构代码、税务登记证扫描件(若三证合一，提供营业执照副本扫描件即可)；</w:t>
      </w:r>
    </w:p>
    <w:bookmarkEnd w:id="95"/>
    <w:bookmarkEnd w:id="96"/>
    <w:bookmarkEnd w:id="97"/>
    <w:bookmarkEnd w:id="98"/>
    <w:bookmarkEnd w:id="99"/>
    <w:p>
      <w:pPr>
        <w:adjustRightInd w:val="0"/>
        <w:snapToGrid w:val="0"/>
        <w:spacing w:line="360" w:lineRule="auto"/>
        <w:outlineLvl w:val="0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以上扫描件均需加盖企业有效签章。</w:t>
      </w:r>
    </w:p>
    <w:p>
      <w:pPr>
        <w:adjustRightInd w:val="0"/>
        <w:snapToGrid w:val="0"/>
        <w:spacing w:line="360" w:lineRule="auto"/>
        <w:outlineLvl w:val="0"/>
        <w:rPr>
          <w:rFonts w:cs="宋体t.祯畴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</w:rPr>
        <w:t>七、招标人联系方式</w:t>
      </w:r>
      <w:bookmarkEnd w:id="75"/>
      <w:bookmarkEnd w:id="76"/>
      <w:bookmarkEnd w:id="77"/>
      <w:bookmarkEnd w:id="78"/>
      <w:bookmarkEnd w:id="79"/>
    </w:p>
    <w:p>
      <w:pPr>
        <w:adjustRightInd w:val="0"/>
        <w:snapToGrid w:val="0"/>
        <w:spacing w:line="360" w:lineRule="auto"/>
        <w:outlineLvl w:val="0"/>
        <w:rPr>
          <w:rFonts w:hint="default" w:cs="宋体t.祯畴" w:asciiTheme="majorEastAsia" w:hAnsiTheme="majorEastAsia" w:eastAsiaTheme="majorEastAsia"/>
          <w:kern w:val="0"/>
          <w:sz w:val="28"/>
          <w:szCs w:val="28"/>
          <w:lang w:val="en-US" w:eastAsia="zh-CN"/>
        </w:rPr>
      </w:pPr>
      <w:bookmarkStart w:id="100" w:name="_Toc30156"/>
      <w:bookmarkStart w:id="101" w:name="_Toc5484"/>
      <w:bookmarkStart w:id="102" w:name="_Toc26439"/>
      <w:bookmarkStart w:id="103" w:name="_Toc29437"/>
      <w:bookmarkStart w:id="104" w:name="_Toc28479"/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</w:rPr>
        <w:t>联系人：</w:t>
      </w:r>
      <w:bookmarkEnd w:id="100"/>
      <w:bookmarkEnd w:id="101"/>
      <w:bookmarkEnd w:id="102"/>
      <w:bookmarkEnd w:id="103"/>
      <w:bookmarkEnd w:id="104"/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  <w:lang w:val="en-US" w:eastAsia="zh-CN"/>
        </w:rPr>
        <w:t>张凯凯  孙庆</w:t>
      </w:r>
      <w:bookmarkStart w:id="115" w:name="_GoBack"/>
      <w:bookmarkEnd w:id="115"/>
    </w:p>
    <w:p>
      <w:pPr>
        <w:adjustRightInd w:val="0"/>
        <w:snapToGrid w:val="0"/>
        <w:spacing w:line="360" w:lineRule="auto"/>
        <w:outlineLvl w:val="0"/>
        <w:rPr>
          <w:rFonts w:hint="default" w:cs="宋体t.祯畴" w:asciiTheme="majorEastAsia" w:hAnsiTheme="majorEastAsia" w:eastAsiaTheme="majorEastAsia"/>
          <w:kern w:val="0"/>
          <w:sz w:val="28"/>
          <w:szCs w:val="28"/>
          <w:lang w:val="en-US" w:eastAsia="zh-CN"/>
        </w:rPr>
      </w:pPr>
      <w:bookmarkStart w:id="105" w:name="_Toc32644"/>
      <w:bookmarkStart w:id="106" w:name="_Toc5101"/>
      <w:bookmarkStart w:id="107" w:name="_Toc30086"/>
      <w:bookmarkStart w:id="108" w:name="_Toc13870"/>
      <w:bookmarkStart w:id="109" w:name="_Toc23236"/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</w:rPr>
        <w:t>联系电话：</w:t>
      </w:r>
      <w:bookmarkEnd w:id="105"/>
      <w:bookmarkEnd w:id="106"/>
      <w:bookmarkEnd w:id="107"/>
      <w:bookmarkEnd w:id="108"/>
      <w:bookmarkEnd w:id="109"/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  <w:lang w:val="en-US" w:eastAsia="zh-CN"/>
        </w:rPr>
        <w:t xml:space="preserve">0531-88687370 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</w:t>
      </w:r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  <w:lang w:val="en-US" w:eastAsia="zh-CN"/>
        </w:rPr>
        <w:t>15662655339</w:t>
      </w:r>
    </w:p>
    <w:p>
      <w:pPr>
        <w:adjustRightInd w:val="0"/>
        <w:snapToGrid w:val="0"/>
        <w:spacing w:line="360" w:lineRule="auto"/>
        <w:outlineLvl w:val="0"/>
        <w:rPr>
          <w:rFonts w:cs="宋体t.祯畴" w:asciiTheme="majorEastAsia" w:hAnsiTheme="majorEastAsia" w:eastAsiaTheme="majorEastAsia"/>
          <w:kern w:val="0"/>
          <w:sz w:val="28"/>
          <w:szCs w:val="28"/>
        </w:rPr>
      </w:pPr>
      <w:bookmarkStart w:id="110" w:name="_Toc9491"/>
      <w:bookmarkStart w:id="111" w:name="_Toc12053"/>
      <w:bookmarkStart w:id="112" w:name="_Toc23786"/>
      <w:bookmarkStart w:id="113" w:name="_Toc25197"/>
      <w:bookmarkStart w:id="114" w:name="_Toc19814"/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</w:rPr>
        <w:t>指定邮箱：</w:t>
      </w:r>
      <w:bookmarkEnd w:id="110"/>
      <w:bookmarkEnd w:id="111"/>
      <w:bookmarkEnd w:id="112"/>
      <w:bookmarkEnd w:id="113"/>
      <w:bookmarkEnd w:id="114"/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  <w:lang w:val="en-US" w:eastAsia="zh-CN"/>
        </w:rPr>
        <w:t>a2388413049</w:t>
      </w:r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</w:rPr>
        <w:t>@</w:t>
      </w:r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  <w:lang w:val="en-US" w:eastAsia="zh-CN"/>
        </w:rPr>
        <w:t>qq</w:t>
      </w:r>
      <w:r>
        <w:rPr>
          <w:rFonts w:hint="eastAsia" w:cs="宋体t.祯畴" w:asciiTheme="majorEastAsia" w:hAnsiTheme="majorEastAsia" w:eastAsiaTheme="majorEastAsia"/>
          <w:kern w:val="0"/>
          <w:sz w:val="28"/>
          <w:szCs w:val="28"/>
        </w:rPr>
        <w:t>.com</w:t>
      </w:r>
    </w:p>
    <w:p>
      <w:pPr>
        <w:adjustRightInd w:val="0"/>
        <w:snapToGrid w:val="0"/>
        <w:spacing w:line="360" w:lineRule="auto"/>
        <w:outlineLvl w:val="0"/>
        <w:rPr>
          <w:rFonts w:cs="宋体t.祯畴" w:asciiTheme="majorEastAsia" w:hAnsiTheme="majorEastAsia" w:eastAsiaTheme="majorEastAsia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outlineLvl w:val="0"/>
        <w:rPr>
          <w:rFonts w:cs="宋体t.祯畴" w:asciiTheme="majorEastAsia" w:hAnsiTheme="majorEastAsia" w:eastAsiaTheme="majorEastAsia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outlineLvl w:val="0"/>
        <w:rPr>
          <w:rFonts w:cs="宋体t.祯畴" w:asciiTheme="majorEastAsia" w:hAnsiTheme="majorEastAsia" w:eastAsiaTheme="majorEastAsia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outlineLvl w:val="0"/>
        <w:rPr>
          <w:rFonts w:cs="宋体t.祯畴" w:asciiTheme="majorEastAsia" w:hAnsiTheme="majorEastAsia" w:eastAsiaTheme="majorEastAsia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outlineLvl w:val="0"/>
        <w:rPr>
          <w:rFonts w:cs="宋体t.祯畴" w:asciiTheme="majorEastAsia" w:hAnsiTheme="majorEastAsia" w:eastAsiaTheme="majorEastAsia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outlineLvl w:val="0"/>
        <w:rPr>
          <w:rFonts w:cs="宋体t.祯畴" w:asciiTheme="majorEastAsia" w:hAnsiTheme="majorEastAsia" w:eastAsiaTheme="majorEastAsia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outlineLvl w:val="0"/>
        <w:rPr>
          <w:rFonts w:cs="宋体t.祯畴" w:asciiTheme="majorEastAsia" w:hAnsiTheme="majorEastAsia" w:eastAsiaTheme="majorEastAsia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outlineLvl w:val="0"/>
        <w:rPr>
          <w:rFonts w:cs="宋体t.祯畴" w:asciiTheme="majorEastAsia" w:hAnsiTheme="majorEastAsia" w:eastAsiaTheme="majorEastAsia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outlineLvl w:val="0"/>
        <w:rPr>
          <w:rFonts w:cs="宋体t.祯畴" w:asciiTheme="majorEastAsia" w:hAnsiTheme="majorEastAsia" w:eastAsiaTheme="majorEastAsia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outlineLvl w:val="0"/>
        <w:rPr>
          <w:rFonts w:cs="宋体t.祯畴" w:asciiTheme="majorEastAsia" w:hAnsiTheme="majorEastAsia" w:eastAsiaTheme="majorEastAsia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outlineLvl w:val="0"/>
        <w:rPr>
          <w:rFonts w:cs="宋体t.祯畴" w:asciiTheme="majorEastAsia" w:hAnsiTheme="majorEastAsia" w:eastAsiaTheme="majorEastAsia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outlineLvl w:val="0"/>
        <w:rPr>
          <w:rFonts w:cs="宋体t.祯畴" w:asciiTheme="majorEastAsia" w:hAnsiTheme="majorEastAsia" w:eastAsiaTheme="majorEastAsia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outlineLvl w:val="0"/>
        <w:rPr>
          <w:rFonts w:cs="宋体t.祯畴" w:asciiTheme="majorEastAsia" w:hAnsiTheme="majorEastAsia" w:eastAsiaTheme="majorEastAsia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outlineLvl w:val="0"/>
        <w:rPr>
          <w:rFonts w:cs="宋体t.祯畴" w:asciiTheme="majorEastAsia" w:hAnsiTheme="majorEastAsia" w:eastAsiaTheme="majorEastAsia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outlineLvl w:val="0"/>
        <w:rPr>
          <w:rFonts w:cs="宋体t.祯畴" w:asciiTheme="majorEastAsia" w:hAnsiTheme="majorEastAsia" w:eastAsiaTheme="majorEastAsia"/>
          <w:kern w:val="0"/>
          <w:sz w:val="28"/>
          <w:szCs w:val="28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spacing w:line="360" w:lineRule="auto"/>
              <w:ind w:firstLine="262" w:firstLineChars="87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30"/>
                <w:szCs w:val="30"/>
              </w:rPr>
              <w:t>资格审查申请函</w:t>
            </w: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致：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公司（招标人）</w:t>
            </w:r>
          </w:p>
          <w:p>
            <w:pPr>
              <w:ind w:firstLine="408" w:firstLineChars="146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在研究并充分理解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项目招标符合性审查文件后，根据我企业的资质、技术力量、管理能力与特点，我方现申请参加本项目招标。</w:t>
            </w:r>
          </w:p>
          <w:p>
            <w:pPr>
              <w:ind w:firstLine="408" w:firstLineChars="146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按照招标符合性审查文件的要求，我们向贵单位递交符合性审查申报资料，以便贵单位审查。</w:t>
            </w:r>
          </w:p>
          <w:p>
            <w:pPr>
              <w:ind w:firstLine="408" w:firstLineChars="146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我方承诺，所呈报的符合性审查申报资料全部内容是真实的、有效的、准确的，并理解和同意有可能被要求提供更多的资料。</w:t>
            </w:r>
          </w:p>
          <w:p>
            <w:pPr>
              <w:ind w:firstLine="408" w:firstLineChars="146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我们理解招标人有权拒绝不符合“符合性审查条件”的申请，且无须作任何解释与承担任何责任。</w:t>
            </w:r>
          </w:p>
          <w:p>
            <w:pPr>
              <w:ind w:firstLine="408" w:firstLineChars="146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我们接受招标人对本项目招标投标活动事项和时间安排，且无需做任何解释与承担任何责任，并不做任何投诉。</w:t>
            </w:r>
          </w:p>
          <w:p>
            <w:pPr>
              <w:ind w:firstLine="408" w:firstLineChars="146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申请单位（签章）：</w:t>
            </w:r>
          </w:p>
          <w:p>
            <w:pPr>
              <w:ind w:firstLine="408" w:firstLineChars="146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ind w:firstLine="408" w:firstLineChars="146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联系电话：</w:t>
            </w:r>
          </w:p>
          <w:p>
            <w:pPr>
              <w:ind w:firstLine="408" w:firstLineChars="146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ind w:firstLine="408" w:firstLineChars="146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电子信箱：</w:t>
            </w:r>
          </w:p>
          <w:p>
            <w:pPr>
              <w:ind w:firstLine="420" w:firstLineChars="150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日期：     年    月    日</w:t>
            </w:r>
          </w:p>
        </w:tc>
      </w:tr>
    </w:tbl>
    <w:p>
      <w:pPr>
        <w:widowControl/>
        <w:spacing w:line="360" w:lineRule="auto"/>
        <w:rPr>
          <w:rFonts w:cs="宋体" w:asciiTheme="majorEastAsia" w:hAnsiTheme="majorEastAsia" w:eastAsiaTheme="majorEastAsia"/>
          <w:b/>
          <w:bCs/>
          <w:kern w:val="0"/>
          <w:sz w:val="24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宋体t.祯畴">
    <w:altName w:val="宋体"/>
    <w:panose1 w:val="020B0602010101010101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CD"/>
    <w:rsid w:val="00025F8C"/>
    <w:rsid w:val="00041187"/>
    <w:rsid w:val="000572AD"/>
    <w:rsid w:val="00061B08"/>
    <w:rsid w:val="0006615A"/>
    <w:rsid w:val="000A036F"/>
    <w:rsid w:val="000B2F28"/>
    <w:rsid w:val="000D0FE5"/>
    <w:rsid w:val="000F18EC"/>
    <w:rsid w:val="001058B4"/>
    <w:rsid w:val="00115B45"/>
    <w:rsid w:val="001224F1"/>
    <w:rsid w:val="0016269F"/>
    <w:rsid w:val="001676B7"/>
    <w:rsid w:val="00182884"/>
    <w:rsid w:val="00194B3F"/>
    <w:rsid w:val="001B0633"/>
    <w:rsid w:val="001B672D"/>
    <w:rsid w:val="001B6BE3"/>
    <w:rsid w:val="001B72DF"/>
    <w:rsid w:val="001D1260"/>
    <w:rsid w:val="002228E9"/>
    <w:rsid w:val="00234F6F"/>
    <w:rsid w:val="00235A78"/>
    <w:rsid w:val="00245B4A"/>
    <w:rsid w:val="0026392D"/>
    <w:rsid w:val="00274EB7"/>
    <w:rsid w:val="002772F2"/>
    <w:rsid w:val="002A1D9B"/>
    <w:rsid w:val="002A4112"/>
    <w:rsid w:val="002C09A7"/>
    <w:rsid w:val="002D30D5"/>
    <w:rsid w:val="00300158"/>
    <w:rsid w:val="003212EB"/>
    <w:rsid w:val="00331B18"/>
    <w:rsid w:val="00333A6B"/>
    <w:rsid w:val="0035154F"/>
    <w:rsid w:val="0035316F"/>
    <w:rsid w:val="003737E8"/>
    <w:rsid w:val="00383A6E"/>
    <w:rsid w:val="00385851"/>
    <w:rsid w:val="00391DC6"/>
    <w:rsid w:val="003B2CAC"/>
    <w:rsid w:val="00403144"/>
    <w:rsid w:val="00407913"/>
    <w:rsid w:val="00477941"/>
    <w:rsid w:val="004779D6"/>
    <w:rsid w:val="004851EA"/>
    <w:rsid w:val="004B0385"/>
    <w:rsid w:val="004B4DB1"/>
    <w:rsid w:val="004C374B"/>
    <w:rsid w:val="004C6D2C"/>
    <w:rsid w:val="00502182"/>
    <w:rsid w:val="00515B61"/>
    <w:rsid w:val="005476CD"/>
    <w:rsid w:val="005520B1"/>
    <w:rsid w:val="00555697"/>
    <w:rsid w:val="005967CE"/>
    <w:rsid w:val="005B711B"/>
    <w:rsid w:val="005E46D3"/>
    <w:rsid w:val="005E761B"/>
    <w:rsid w:val="005F3B74"/>
    <w:rsid w:val="006029D7"/>
    <w:rsid w:val="006063C1"/>
    <w:rsid w:val="006131B2"/>
    <w:rsid w:val="006150C6"/>
    <w:rsid w:val="0062144E"/>
    <w:rsid w:val="00632524"/>
    <w:rsid w:val="00632675"/>
    <w:rsid w:val="00635283"/>
    <w:rsid w:val="006378D5"/>
    <w:rsid w:val="00641BC8"/>
    <w:rsid w:val="00663576"/>
    <w:rsid w:val="006717A6"/>
    <w:rsid w:val="006C4184"/>
    <w:rsid w:val="006C42A7"/>
    <w:rsid w:val="006E7F9F"/>
    <w:rsid w:val="006F28F9"/>
    <w:rsid w:val="00711274"/>
    <w:rsid w:val="00722D0F"/>
    <w:rsid w:val="00726EBC"/>
    <w:rsid w:val="00746C94"/>
    <w:rsid w:val="00751115"/>
    <w:rsid w:val="0075706B"/>
    <w:rsid w:val="00773E58"/>
    <w:rsid w:val="00774027"/>
    <w:rsid w:val="00783A31"/>
    <w:rsid w:val="007A1ECB"/>
    <w:rsid w:val="007A3431"/>
    <w:rsid w:val="007F2772"/>
    <w:rsid w:val="007F51B5"/>
    <w:rsid w:val="00812E37"/>
    <w:rsid w:val="00840628"/>
    <w:rsid w:val="0084663E"/>
    <w:rsid w:val="008641F7"/>
    <w:rsid w:val="00897FAE"/>
    <w:rsid w:val="008D1E10"/>
    <w:rsid w:val="008E27EE"/>
    <w:rsid w:val="008F708E"/>
    <w:rsid w:val="00900C2C"/>
    <w:rsid w:val="00905DB1"/>
    <w:rsid w:val="009061AC"/>
    <w:rsid w:val="009201C8"/>
    <w:rsid w:val="0092150E"/>
    <w:rsid w:val="009219D7"/>
    <w:rsid w:val="00940BF4"/>
    <w:rsid w:val="0094274C"/>
    <w:rsid w:val="00965245"/>
    <w:rsid w:val="00965917"/>
    <w:rsid w:val="0096680C"/>
    <w:rsid w:val="00985F79"/>
    <w:rsid w:val="009C1FB4"/>
    <w:rsid w:val="009C4BC1"/>
    <w:rsid w:val="009C6F20"/>
    <w:rsid w:val="00A0543F"/>
    <w:rsid w:val="00A17185"/>
    <w:rsid w:val="00A22350"/>
    <w:rsid w:val="00A81A00"/>
    <w:rsid w:val="00A81C1C"/>
    <w:rsid w:val="00A91123"/>
    <w:rsid w:val="00AA6428"/>
    <w:rsid w:val="00AC4E73"/>
    <w:rsid w:val="00AD4CAF"/>
    <w:rsid w:val="00AF71BB"/>
    <w:rsid w:val="00B1362F"/>
    <w:rsid w:val="00B675D9"/>
    <w:rsid w:val="00B704F3"/>
    <w:rsid w:val="00B72310"/>
    <w:rsid w:val="00BB757C"/>
    <w:rsid w:val="00BC1A82"/>
    <w:rsid w:val="00BE7872"/>
    <w:rsid w:val="00BF4792"/>
    <w:rsid w:val="00C024A7"/>
    <w:rsid w:val="00C225BA"/>
    <w:rsid w:val="00C36A03"/>
    <w:rsid w:val="00C41580"/>
    <w:rsid w:val="00C5319A"/>
    <w:rsid w:val="00C72B32"/>
    <w:rsid w:val="00C767E4"/>
    <w:rsid w:val="00CB5DEA"/>
    <w:rsid w:val="00CB7D58"/>
    <w:rsid w:val="00D501E3"/>
    <w:rsid w:val="00D57F5F"/>
    <w:rsid w:val="00D8534F"/>
    <w:rsid w:val="00DC3488"/>
    <w:rsid w:val="00DD64C9"/>
    <w:rsid w:val="00DE0966"/>
    <w:rsid w:val="00DE49D6"/>
    <w:rsid w:val="00E04F58"/>
    <w:rsid w:val="00E07D2B"/>
    <w:rsid w:val="00E13702"/>
    <w:rsid w:val="00E16ADE"/>
    <w:rsid w:val="00E500B3"/>
    <w:rsid w:val="00E578B1"/>
    <w:rsid w:val="00E64379"/>
    <w:rsid w:val="00E67A1C"/>
    <w:rsid w:val="00E95E60"/>
    <w:rsid w:val="00E9721F"/>
    <w:rsid w:val="00F1430E"/>
    <w:rsid w:val="00F606F5"/>
    <w:rsid w:val="00F61540"/>
    <w:rsid w:val="00F95EDE"/>
    <w:rsid w:val="00FF6BFE"/>
    <w:rsid w:val="09DE1133"/>
    <w:rsid w:val="12011BC0"/>
    <w:rsid w:val="1C363FFC"/>
    <w:rsid w:val="26BC505F"/>
    <w:rsid w:val="311469DA"/>
    <w:rsid w:val="35F61D11"/>
    <w:rsid w:val="44095F86"/>
    <w:rsid w:val="46324958"/>
    <w:rsid w:val="47FA62D7"/>
    <w:rsid w:val="491F32A3"/>
    <w:rsid w:val="4C9E127C"/>
    <w:rsid w:val="5CA40859"/>
    <w:rsid w:val="5CBF0D21"/>
    <w:rsid w:val="66F45691"/>
    <w:rsid w:val="6AD66CA8"/>
    <w:rsid w:val="6EB8366C"/>
    <w:rsid w:val="76A362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147</Words>
  <Characters>842</Characters>
  <Lines>7</Lines>
  <Paragraphs>1</Paragraphs>
  <TotalTime>0</TotalTime>
  <ScaleCrop>false</ScaleCrop>
  <LinksUpToDate>false</LinksUpToDate>
  <CharactersWithSpaces>988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2019-02-27T02:57:00Z</dcterms:created>
  <dc:creator>李中昊</dc:creator>
  <cp:lastModifiedBy>张凯凯</cp:lastModifiedBy>
  <dcterms:modified xsi:type="dcterms:W3CDTF">2020-03-31T01:11:30Z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